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DC8B" w14:textId="6C21829D" w:rsidR="001C2172" w:rsidRDefault="001C2172" w:rsidP="001C2172">
      <w:pPr>
        <w:jc w:val="center"/>
        <w:rPr>
          <w:noProof/>
        </w:rPr>
      </w:pPr>
      <w:r>
        <w:rPr>
          <w:noProof/>
        </w:rPr>
        <w:drawing>
          <wp:inline distT="0" distB="0" distL="0" distR="0" wp14:anchorId="45F475BF" wp14:editId="73C8DB02">
            <wp:extent cx="2934031" cy="1424697"/>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6438" cy="1430722"/>
                    </a:xfrm>
                    <a:prstGeom prst="rect">
                      <a:avLst/>
                    </a:prstGeom>
                  </pic:spPr>
                </pic:pic>
              </a:graphicData>
            </a:graphic>
          </wp:inline>
        </w:drawing>
      </w:r>
    </w:p>
    <w:p w14:paraId="5C9CAFC7" w14:textId="0210511E" w:rsidR="001C2172" w:rsidRPr="001C2172" w:rsidRDefault="001C2172" w:rsidP="001C2172"/>
    <w:p w14:paraId="4A624EEE" w14:textId="6D52E740" w:rsidR="001C2172" w:rsidRDefault="001C2172" w:rsidP="001C2172">
      <w:pPr>
        <w:jc w:val="center"/>
        <w:rPr>
          <w:rFonts w:ascii="Cambria" w:hAnsi="Cambria" w:cs="Times New Roman"/>
          <w:b/>
          <w:bCs/>
          <w:sz w:val="28"/>
          <w:szCs w:val="28"/>
        </w:rPr>
      </w:pPr>
      <w:r w:rsidRPr="001C2172">
        <w:rPr>
          <w:rFonts w:ascii="Cambria" w:hAnsi="Cambria" w:cs="Times New Roman"/>
          <w:b/>
          <w:bCs/>
          <w:sz w:val="28"/>
          <w:szCs w:val="28"/>
        </w:rPr>
        <w:t>Board</w:t>
      </w:r>
      <w:r w:rsidR="0046069F">
        <w:rPr>
          <w:rFonts w:ascii="Cambria" w:hAnsi="Cambria" w:cs="Times New Roman"/>
          <w:b/>
          <w:bCs/>
          <w:sz w:val="28"/>
          <w:szCs w:val="28"/>
        </w:rPr>
        <w:t xml:space="preserve"> Member</w:t>
      </w:r>
      <w:r w:rsidRPr="001C2172">
        <w:rPr>
          <w:rFonts w:ascii="Cambria" w:hAnsi="Cambria" w:cs="Times New Roman"/>
          <w:b/>
          <w:bCs/>
          <w:sz w:val="28"/>
          <w:szCs w:val="28"/>
        </w:rPr>
        <w:t xml:space="preserve"> </w:t>
      </w:r>
      <w:r w:rsidR="0046069F">
        <w:rPr>
          <w:rFonts w:ascii="Cambria" w:hAnsi="Cambria" w:cs="Times New Roman"/>
          <w:b/>
          <w:bCs/>
          <w:sz w:val="28"/>
          <w:szCs w:val="28"/>
        </w:rPr>
        <w:t>Job Description</w:t>
      </w:r>
    </w:p>
    <w:p w14:paraId="39A2B6E7" w14:textId="6B435D4F" w:rsidR="001C2172" w:rsidRDefault="001C2172" w:rsidP="001C2172">
      <w:pPr>
        <w:rPr>
          <w:rFonts w:ascii="Cambria" w:hAnsi="Cambria" w:cs="Times New Roman"/>
          <w:sz w:val="24"/>
          <w:szCs w:val="24"/>
        </w:rPr>
      </w:pPr>
      <w:r>
        <w:rPr>
          <w:rFonts w:ascii="Cambria" w:hAnsi="Cambria" w:cs="Times New Roman"/>
          <w:sz w:val="24"/>
          <w:szCs w:val="24"/>
        </w:rPr>
        <w:t xml:space="preserve">The US League of Tea Growers (USLTG) </w:t>
      </w:r>
      <w:r w:rsidRPr="001C2172">
        <w:rPr>
          <w:rFonts w:ascii="Cambria" w:hAnsi="Cambria" w:cs="Times New Roman"/>
          <w:sz w:val="24"/>
          <w:szCs w:val="24"/>
        </w:rPr>
        <w:t>is made up of dedicated tea growers, educators, enthusiasts, and retailers and actively encourages the growth and production of high value specialty teas within the USA. We provide education, resources, and support in all facets of your tea growing journey. Our goals are to offer knowledge for specialty tea growing, encourage collaboration between tea growers, promote tea agriculture, recruit academia to teach "best practices" for growers, and represent US tea growers across the globe.</w:t>
      </w:r>
    </w:p>
    <w:p w14:paraId="5FB77F7C" w14:textId="6A900F8A" w:rsidR="001C2172" w:rsidRDefault="001C2172" w:rsidP="001C2172">
      <w:pPr>
        <w:rPr>
          <w:rFonts w:ascii="Cambria" w:hAnsi="Cambria" w:cs="Times New Roman"/>
          <w:sz w:val="24"/>
          <w:szCs w:val="24"/>
        </w:rPr>
      </w:pPr>
      <w:r>
        <w:rPr>
          <w:rFonts w:ascii="Cambria" w:hAnsi="Cambria" w:cs="Times New Roman"/>
          <w:sz w:val="24"/>
          <w:szCs w:val="24"/>
        </w:rPr>
        <w:t xml:space="preserve">As a 501(c)(6), the USLTG is governed by a Board of Directors. The Board is responsible for ensuring the USLTG fulfills its mission by setting </w:t>
      </w:r>
      <w:proofErr w:type="gramStart"/>
      <w:r>
        <w:rPr>
          <w:rFonts w:ascii="Cambria" w:hAnsi="Cambria" w:cs="Times New Roman"/>
          <w:sz w:val="24"/>
          <w:szCs w:val="24"/>
        </w:rPr>
        <w:t>the strategic</w:t>
      </w:r>
      <w:proofErr w:type="gramEnd"/>
      <w:r>
        <w:rPr>
          <w:rFonts w:ascii="Cambria" w:hAnsi="Cambria" w:cs="Times New Roman"/>
          <w:sz w:val="24"/>
          <w:szCs w:val="24"/>
        </w:rPr>
        <w:t xml:space="preserve"> direction and goals, monitoring operations, and evaluating and supporting the organization’s performance. A Board Member must fulfill the fiduciary responsibilities of the Board of Directors, including making corporate decisions that protect the public interest.</w:t>
      </w:r>
    </w:p>
    <w:p w14:paraId="33B10AA2" w14:textId="67054573" w:rsidR="001C2172" w:rsidRPr="001C2172" w:rsidRDefault="001C2172" w:rsidP="001C2172">
      <w:pPr>
        <w:rPr>
          <w:rFonts w:ascii="Cambria" w:hAnsi="Cambria" w:cs="Times New Roman"/>
          <w:b/>
          <w:bCs/>
          <w:color w:val="2F5496" w:themeColor="accent1" w:themeShade="BF"/>
          <w:sz w:val="24"/>
          <w:szCs w:val="24"/>
        </w:rPr>
      </w:pPr>
      <w:r w:rsidRPr="001C2172">
        <w:rPr>
          <w:rFonts w:ascii="Cambria" w:hAnsi="Cambria" w:cs="Times New Roman"/>
          <w:b/>
          <w:bCs/>
          <w:color w:val="2F5496" w:themeColor="accent1" w:themeShade="BF"/>
          <w:sz w:val="24"/>
          <w:szCs w:val="24"/>
        </w:rPr>
        <w:t xml:space="preserve">Board </w:t>
      </w:r>
      <w:r>
        <w:rPr>
          <w:rFonts w:ascii="Cambria" w:hAnsi="Cambria" w:cs="Times New Roman"/>
          <w:b/>
          <w:bCs/>
          <w:color w:val="2F5496" w:themeColor="accent1" w:themeShade="BF"/>
          <w:sz w:val="24"/>
          <w:szCs w:val="24"/>
        </w:rPr>
        <w:t>of Directors</w:t>
      </w:r>
      <w:r w:rsidRPr="001C2172">
        <w:rPr>
          <w:rFonts w:ascii="Cambria" w:hAnsi="Cambria" w:cs="Times New Roman"/>
          <w:b/>
          <w:bCs/>
          <w:color w:val="2F5496" w:themeColor="accent1" w:themeShade="BF"/>
          <w:sz w:val="24"/>
          <w:szCs w:val="24"/>
        </w:rPr>
        <w:t xml:space="preserve"> Responsibilities:</w:t>
      </w:r>
    </w:p>
    <w:p w14:paraId="76EF3F68" w14:textId="382D2C40" w:rsidR="001C2172" w:rsidRDefault="001C2172" w:rsidP="001C2172">
      <w:pPr>
        <w:pStyle w:val="ListParagraph"/>
        <w:numPr>
          <w:ilvl w:val="0"/>
          <w:numId w:val="1"/>
        </w:numPr>
        <w:rPr>
          <w:rFonts w:ascii="Cambria" w:hAnsi="Cambria" w:cs="Times New Roman"/>
          <w:sz w:val="24"/>
          <w:szCs w:val="24"/>
        </w:rPr>
      </w:pPr>
      <w:r>
        <w:rPr>
          <w:rFonts w:ascii="Cambria" w:hAnsi="Cambria" w:cs="Times New Roman"/>
          <w:sz w:val="24"/>
          <w:szCs w:val="24"/>
        </w:rPr>
        <w:t>Determining the mission and purposes of the organization</w:t>
      </w:r>
    </w:p>
    <w:p w14:paraId="3807727C" w14:textId="37F5B884" w:rsidR="001C2172" w:rsidRDefault="001C2172" w:rsidP="001C2172">
      <w:pPr>
        <w:pStyle w:val="ListParagraph"/>
        <w:numPr>
          <w:ilvl w:val="0"/>
          <w:numId w:val="1"/>
        </w:numPr>
        <w:rPr>
          <w:rFonts w:ascii="Cambria" w:hAnsi="Cambria" w:cs="Times New Roman"/>
          <w:sz w:val="24"/>
          <w:szCs w:val="24"/>
        </w:rPr>
      </w:pPr>
      <w:r>
        <w:rPr>
          <w:rFonts w:ascii="Cambria" w:hAnsi="Cambria" w:cs="Times New Roman"/>
          <w:sz w:val="24"/>
          <w:szCs w:val="24"/>
        </w:rPr>
        <w:t>Selection and evaluation of the Executive Director</w:t>
      </w:r>
    </w:p>
    <w:p w14:paraId="68B4731F" w14:textId="42A00F33" w:rsidR="001C2172" w:rsidRDefault="001C2172" w:rsidP="001C2172">
      <w:pPr>
        <w:pStyle w:val="ListParagraph"/>
        <w:numPr>
          <w:ilvl w:val="0"/>
          <w:numId w:val="1"/>
        </w:numPr>
        <w:rPr>
          <w:rFonts w:ascii="Cambria" w:hAnsi="Cambria" w:cs="Times New Roman"/>
          <w:sz w:val="24"/>
          <w:szCs w:val="24"/>
        </w:rPr>
      </w:pPr>
      <w:r>
        <w:rPr>
          <w:rFonts w:ascii="Cambria" w:hAnsi="Cambria" w:cs="Times New Roman"/>
          <w:sz w:val="24"/>
          <w:szCs w:val="24"/>
        </w:rPr>
        <w:t>Strategic and organizational planning</w:t>
      </w:r>
    </w:p>
    <w:p w14:paraId="117400F4" w14:textId="4C9E0945" w:rsidR="001C2172" w:rsidRDefault="001C2172" w:rsidP="001C2172">
      <w:pPr>
        <w:pStyle w:val="ListParagraph"/>
        <w:numPr>
          <w:ilvl w:val="0"/>
          <w:numId w:val="1"/>
        </w:numPr>
        <w:rPr>
          <w:rFonts w:ascii="Cambria" w:hAnsi="Cambria" w:cs="Times New Roman"/>
          <w:sz w:val="24"/>
          <w:szCs w:val="24"/>
        </w:rPr>
      </w:pPr>
      <w:r>
        <w:rPr>
          <w:rFonts w:ascii="Cambria" w:hAnsi="Cambria" w:cs="Times New Roman"/>
          <w:sz w:val="24"/>
          <w:szCs w:val="24"/>
        </w:rPr>
        <w:t>Ensuring strong fiduciary oversight and management</w:t>
      </w:r>
    </w:p>
    <w:p w14:paraId="65D66A84" w14:textId="3BA01CB1" w:rsidR="001C2172" w:rsidRDefault="001C2172" w:rsidP="001C2172">
      <w:pPr>
        <w:pStyle w:val="ListParagraph"/>
        <w:numPr>
          <w:ilvl w:val="0"/>
          <w:numId w:val="1"/>
        </w:numPr>
        <w:rPr>
          <w:rFonts w:ascii="Cambria" w:hAnsi="Cambria" w:cs="Times New Roman"/>
          <w:sz w:val="24"/>
          <w:szCs w:val="24"/>
        </w:rPr>
      </w:pPr>
      <w:r>
        <w:rPr>
          <w:rFonts w:ascii="Cambria" w:hAnsi="Cambria" w:cs="Times New Roman"/>
          <w:sz w:val="24"/>
          <w:szCs w:val="24"/>
        </w:rPr>
        <w:t>Fundraising and resource development</w:t>
      </w:r>
    </w:p>
    <w:p w14:paraId="087977B0" w14:textId="0D977574" w:rsidR="001C2172" w:rsidRDefault="001C2172" w:rsidP="001C2172">
      <w:pPr>
        <w:pStyle w:val="ListParagraph"/>
        <w:numPr>
          <w:ilvl w:val="0"/>
          <w:numId w:val="1"/>
        </w:numPr>
        <w:rPr>
          <w:rFonts w:ascii="Cambria" w:hAnsi="Cambria" w:cs="Times New Roman"/>
          <w:sz w:val="24"/>
          <w:szCs w:val="24"/>
        </w:rPr>
      </w:pPr>
      <w:r>
        <w:rPr>
          <w:rFonts w:ascii="Cambria" w:hAnsi="Cambria" w:cs="Times New Roman"/>
          <w:sz w:val="24"/>
          <w:szCs w:val="24"/>
        </w:rPr>
        <w:t>Supporting and monitoring events and programs</w:t>
      </w:r>
    </w:p>
    <w:p w14:paraId="0681A54E" w14:textId="3A93EB29" w:rsidR="001C2172" w:rsidRDefault="001C2172" w:rsidP="001C2172">
      <w:pPr>
        <w:pStyle w:val="ListParagraph"/>
        <w:numPr>
          <w:ilvl w:val="0"/>
          <w:numId w:val="1"/>
        </w:numPr>
        <w:rPr>
          <w:rFonts w:ascii="Cambria" w:hAnsi="Cambria" w:cs="Times New Roman"/>
          <w:sz w:val="24"/>
          <w:szCs w:val="24"/>
        </w:rPr>
      </w:pPr>
      <w:r>
        <w:rPr>
          <w:rFonts w:ascii="Cambria" w:hAnsi="Cambria" w:cs="Times New Roman"/>
          <w:sz w:val="24"/>
          <w:szCs w:val="24"/>
        </w:rPr>
        <w:t>Enhancing the USLTG’s public image</w:t>
      </w:r>
    </w:p>
    <w:p w14:paraId="57B148E7" w14:textId="06F2BBC6" w:rsidR="001C2172" w:rsidRPr="001C2172" w:rsidRDefault="001C2172" w:rsidP="001C2172">
      <w:pPr>
        <w:rPr>
          <w:rFonts w:ascii="Cambria" w:hAnsi="Cambria" w:cs="Times New Roman"/>
          <w:b/>
          <w:bCs/>
          <w:color w:val="2F5496" w:themeColor="accent1" w:themeShade="BF"/>
          <w:sz w:val="24"/>
          <w:szCs w:val="24"/>
        </w:rPr>
      </w:pPr>
      <w:r w:rsidRPr="001C2172">
        <w:rPr>
          <w:rFonts w:ascii="Cambria" w:hAnsi="Cambria" w:cs="Times New Roman"/>
          <w:b/>
          <w:bCs/>
          <w:color w:val="2F5496" w:themeColor="accent1" w:themeShade="BF"/>
          <w:sz w:val="24"/>
          <w:szCs w:val="24"/>
        </w:rPr>
        <w:t>Individual Board Member Responsibilities:</w:t>
      </w:r>
    </w:p>
    <w:p w14:paraId="15639865" w14:textId="138DAE88" w:rsidR="001C2172" w:rsidRDefault="001C2172" w:rsidP="001C2172">
      <w:pPr>
        <w:pStyle w:val="ListParagraph"/>
        <w:numPr>
          <w:ilvl w:val="0"/>
          <w:numId w:val="1"/>
        </w:numPr>
        <w:rPr>
          <w:rFonts w:ascii="Cambria" w:hAnsi="Cambria" w:cs="Times New Roman"/>
          <w:sz w:val="24"/>
          <w:szCs w:val="24"/>
        </w:rPr>
      </w:pPr>
      <w:r>
        <w:rPr>
          <w:rFonts w:ascii="Cambria" w:hAnsi="Cambria" w:cs="Times New Roman"/>
          <w:sz w:val="24"/>
          <w:szCs w:val="24"/>
        </w:rPr>
        <w:t xml:space="preserve">Know the organization’s mission, policies, programs and </w:t>
      </w:r>
      <w:proofErr w:type="gramStart"/>
      <w:r>
        <w:rPr>
          <w:rFonts w:ascii="Cambria" w:hAnsi="Cambria" w:cs="Times New Roman"/>
          <w:sz w:val="24"/>
          <w:szCs w:val="24"/>
        </w:rPr>
        <w:t>needs</w:t>
      </w:r>
      <w:proofErr w:type="gramEnd"/>
    </w:p>
    <w:p w14:paraId="3D6D65EE" w14:textId="594EA81E" w:rsidR="001C2172" w:rsidRDefault="001C2172" w:rsidP="001C2172">
      <w:pPr>
        <w:pStyle w:val="ListParagraph"/>
        <w:numPr>
          <w:ilvl w:val="0"/>
          <w:numId w:val="1"/>
        </w:numPr>
        <w:rPr>
          <w:rFonts w:ascii="Cambria" w:hAnsi="Cambria" w:cs="Times New Roman"/>
          <w:sz w:val="24"/>
          <w:szCs w:val="24"/>
        </w:rPr>
      </w:pPr>
      <w:r>
        <w:rPr>
          <w:rFonts w:ascii="Cambria" w:hAnsi="Cambria" w:cs="Times New Roman"/>
          <w:sz w:val="24"/>
          <w:szCs w:val="24"/>
        </w:rPr>
        <w:t xml:space="preserve">Faithfully read and understand the organization’s financial </w:t>
      </w:r>
      <w:proofErr w:type="gramStart"/>
      <w:r>
        <w:rPr>
          <w:rFonts w:ascii="Cambria" w:hAnsi="Cambria" w:cs="Times New Roman"/>
          <w:sz w:val="24"/>
          <w:szCs w:val="24"/>
        </w:rPr>
        <w:t>statements</w:t>
      </w:r>
      <w:proofErr w:type="gramEnd"/>
    </w:p>
    <w:p w14:paraId="399462B0" w14:textId="0375B1DC" w:rsidR="001C2172" w:rsidRDefault="001C2172" w:rsidP="001C2172">
      <w:pPr>
        <w:pStyle w:val="ListParagraph"/>
        <w:numPr>
          <w:ilvl w:val="0"/>
          <w:numId w:val="1"/>
        </w:numPr>
        <w:rPr>
          <w:rFonts w:ascii="Cambria" w:hAnsi="Cambria" w:cs="Times New Roman"/>
          <w:sz w:val="24"/>
          <w:szCs w:val="24"/>
        </w:rPr>
      </w:pPr>
      <w:r>
        <w:rPr>
          <w:rFonts w:ascii="Cambria" w:hAnsi="Cambria" w:cs="Times New Roman"/>
          <w:sz w:val="24"/>
          <w:szCs w:val="24"/>
        </w:rPr>
        <w:t xml:space="preserve">Serve as active advocate and ambassador for the </w:t>
      </w:r>
      <w:proofErr w:type="gramStart"/>
      <w:r>
        <w:rPr>
          <w:rFonts w:ascii="Cambria" w:hAnsi="Cambria" w:cs="Times New Roman"/>
          <w:sz w:val="24"/>
          <w:szCs w:val="24"/>
        </w:rPr>
        <w:t>organization</w:t>
      </w:r>
      <w:proofErr w:type="gramEnd"/>
    </w:p>
    <w:p w14:paraId="55350236" w14:textId="231061E4" w:rsidR="001C2172" w:rsidRDefault="001C2172" w:rsidP="001C2172">
      <w:pPr>
        <w:pStyle w:val="ListParagraph"/>
        <w:numPr>
          <w:ilvl w:val="0"/>
          <w:numId w:val="1"/>
        </w:numPr>
        <w:rPr>
          <w:rFonts w:ascii="Cambria" w:hAnsi="Cambria" w:cs="Times New Roman"/>
          <w:sz w:val="24"/>
          <w:szCs w:val="24"/>
        </w:rPr>
      </w:pPr>
      <w:r>
        <w:rPr>
          <w:rFonts w:ascii="Cambria" w:hAnsi="Cambria" w:cs="Times New Roman"/>
          <w:sz w:val="24"/>
          <w:szCs w:val="24"/>
        </w:rPr>
        <w:t>Fully engage in identifying and securing the financial resources and partnerships necessary to advance the USLTG mission</w:t>
      </w:r>
    </w:p>
    <w:p w14:paraId="468837ED" w14:textId="4296B81C" w:rsidR="001C2172" w:rsidRDefault="001C2172" w:rsidP="001C2172">
      <w:pPr>
        <w:pStyle w:val="ListParagraph"/>
        <w:numPr>
          <w:ilvl w:val="0"/>
          <w:numId w:val="1"/>
        </w:numPr>
        <w:rPr>
          <w:rFonts w:ascii="Cambria" w:hAnsi="Cambria" w:cs="Times New Roman"/>
          <w:sz w:val="24"/>
          <w:szCs w:val="24"/>
        </w:rPr>
      </w:pPr>
      <w:r>
        <w:rPr>
          <w:rFonts w:ascii="Cambria" w:hAnsi="Cambria" w:cs="Times New Roman"/>
          <w:sz w:val="24"/>
          <w:szCs w:val="24"/>
        </w:rPr>
        <w:t xml:space="preserve">Prepare for, attend, and conscientiously participate in Board </w:t>
      </w:r>
      <w:proofErr w:type="gramStart"/>
      <w:r>
        <w:rPr>
          <w:rFonts w:ascii="Cambria" w:hAnsi="Cambria" w:cs="Times New Roman"/>
          <w:sz w:val="24"/>
          <w:szCs w:val="24"/>
        </w:rPr>
        <w:t>meetings</w:t>
      </w:r>
      <w:proofErr w:type="gramEnd"/>
    </w:p>
    <w:p w14:paraId="2B21DD58" w14:textId="6DDD2094" w:rsidR="001C2172" w:rsidRDefault="001C2172" w:rsidP="001C2172">
      <w:pPr>
        <w:pStyle w:val="ListParagraph"/>
        <w:numPr>
          <w:ilvl w:val="0"/>
          <w:numId w:val="1"/>
        </w:numPr>
        <w:rPr>
          <w:rFonts w:ascii="Cambria" w:hAnsi="Cambria" w:cs="Times New Roman"/>
          <w:sz w:val="24"/>
          <w:szCs w:val="24"/>
        </w:rPr>
      </w:pPr>
      <w:r>
        <w:rPr>
          <w:rFonts w:ascii="Cambria" w:hAnsi="Cambria" w:cs="Times New Roman"/>
          <w:sz w:val="24"/>
          <w:szCs w:val="24"/>
        </w:rPr>
        <w:t>Participate fully in one or more Board committees, if established</w:t>
      </w:r>
    </w:p>
    <w:p w14:paraId="5737CCC5" w14:textId="77777777" w:rsidR="001C2172" w:rsidRDefault="001C2172" w:rsidP="001C2172">
      <w:pPr>
        <w:pStyle w:val="ListParagraph"/>
        <w:rPr>
          <w:rFonts w:ascii="Cambria" w:hAnsi="Cambria" w:cs="Times New Roman"/>
          <w:sz w:val="24"/>
          <w:szCs w:val="24"/>
        </w:rPr>
      </w:pPr>
    </w:p>
    <w:p w14:paraId="3F8D1F77" w14:textId="1F3726BB" w:rsidR="001C2172" w:rsidRDefault="001C2172" w:rsidP="001C2172">
      <w:pPr>
        <w:rPr>
          <w:rFonts w:ascii="Cambria" w:hAnsi="Cambria" w:cs="Times New Roman"/>
          <w:color w:val="2F5496" w:themeColor="accent1" w:themeShade="BF"/>
          <w:sz w:val="24"/>
          <w:szCs w:val="24"/>
        </w:rPr>
      </w:pPr>
      <w:r>
        <w:rPr>
          <w:rFonts w:ascii="Cambria" w:hAnsi="Cambria" w:cs="Times New Roman"/>
          <w:b/>
          <w:bCs/>
          <w:color w:val="2F5496" w:themeColor="accent1" w:themeShade="BF"/>
          <w:sz w:val="24"/>
          <w:szCs w:val="24"/>
        </w:rPr>
        <w:lastRenderedPageBreak/>
        <w:t xml:space="preserve">Elected By: </w:t>
      </w:r>
      <w:r w:rsidRPr="004035DE">
        <w:rPr>
          <w:rFonts w:ascii="Cambria" w:hAnsi="Cambria" w:cs="Times New Roman"/>
          <w:sz w:val="24"/>
          <w:szCs w:val="24"/>
        </w:rPr>
        <w:t>Board of Directors</w:t>
      </w:r>
    </w:p>
    <w:p w14:paraId="72978890" w14:textId="7B86CF6A" w:rsidR="001C2172" w:rsidRDefault="001C2172" w:rsidP="001C2172">
      <w:pPr>
        <w:rPr>
          <w:rFonts w:ascii="Cambria" w:hAnsi="Cambria" w:cs="Times New Roman"/>
          <w:sz w:val="24"/>
          <w:szCs w:val="24"/>
        </w:rPr>
      </w:pPr>
      <w:r>
        <w:rPr>
          <w:rFonts w:ascii="Cambria" w:hAnsi="Cambria" w:cs="Times New Roman"/>
          <w:b/>
          <w:bCs/>
          <w:color w:val="2F5496" w:themeColor="accent1" w:themeShade="BF"/>
          <w:sz w:val="24"/>
          <w:szCs w:val="24"/>
        </w:rPr>
        <w:t xml:space="preserve">Term Length: </w:t>
      </w:r>
      <w:r w:rsidRPr="004035DE">
        <w:rPr>
          <w:rFonts w:ascii="Cambria" w:hAnsi="Cambria" w:cs="Times New Roman"/>
          <w:sz w:val="24"/>
          <w:szCs w:val="24"/>
        </w:rPr>
        <w:t xml:space="preserve">Three years; may serve two consecutive </w:t>
      </w:r>
      <w:proofErr w:type="gramStart"/>
      <w:r w:rsidRPr="004035DE">
        <w:rPr>
          <w:rFonts w:ascii="Cambria" w:hAnsi="Cambria" w:cs="Times New Roman"/>
          <w:sz w:val="24"/>
          <w:szCs w:val="24"/>
        </w:rPr>
        <w:t>terms</w:t>
      </w:r>
      <w:proofErr w:type="gramEnd"/>
    </w:p>
    <w:p w14:paraId="666CBFE5" w14:textId="77D3B58B" w:rsidR="004035DE" w:rsidRPr="004035DE" w:rsidRDefault="004035DE" w:rsidP="001C2172">
      <w:pPr>
        <w:rPr>
          <w:rFonts w:ascii="Cambria" w:hAnsi="Cambria" w:cs="Times New Roman"/>
          <w:color w:val="2F5496" w:themeColor="accent1" w:themeShade="BF"/>
          <w:sz w:val="24"/>
          <w:szCs w:val="24"/>
        </w:rPr>
      </w:pPr>
      <w:r>
        <w:rPr>
          <w:rFonts w:ascii="Cambria" w:hAnsi="Cambria" w:cs="Times New Roman"/>
          <w:b/>
          <w:bCs/>
          <w:color w:val="2F5496" w:themeColor="accent1" w:themeShade="BF"/>
          <w:sz w:val="24"/>
          <w:szCs w:val="24"/>
        </w:rPr>
        <w:t xml:space="preserve">Compensation: </w:t>
      </w:r>
      <w:r w:rsidRPr="004035DE">
        <w:rPr>
          <w:rFonts w:ascii="Cambria" w:hAnsi="Cambria" w:cs="Times New Roman"/>
          <w:sz w:val="24"/>
          <w:szCs w:val="24"/>
        </w:rPr>
        <w:t>None; voluntary position</w:t>
      </w:r>
    </w:p>
    <w:p w14:paraId="7E3E3E3A" w14:textId="6E903433" w:rsidR="004035DE" w:rsidRDefault="001C2172" w:rsidP="001C2172">
      <w:pPr>
        <w:rPr>
          <w:rFonts w:ascii="Cambria" w:hAnsi="Cambria" w:cs="Times New Roman"/>
          <w:b/>
          <w:bCs/>
          <w:color w:val="2F5496" w:themeColor="accent1" w:themeShade="BF"/>
          <w:sz w:val="24"/>
          <w:szCs w:val="24"/>
        </w:rPr>
      </w:pPr>
      <w:r>
        <w:rPr>
          <w:rFonts w:ascii="Cambria" w:hAnsi="Cambria" w:cs="Times New Roman"/>
          <w:b/>
          <w:bCs/>
          <w:color w:val="2F5496" w:themeColor="accent1" w:themeShade="BF"/>
          <w:sz w:val="24"/>
          <w:szCs w:val="24"/>
        </w:rPr>
        <w:t>Time Commitment:</w:t>
      </w:r>
      <w:r w:rsidR="004035DE">
        <w:rPr>
          <w:rFonts w:ascii="Cambria" w:hAnsi="Cambria" w:cs="Times New Roman"/>
          <w:b/>
          <w:bCs/>
          <w:color w:val="2F5496" w:themeColor="accent1" w:themeShade="BF"/>
          <w:sz w:val="24"/>
          <w:szCs w:val="24"/>
        </w:rPr>
        <w:t xml:space="preserve"> </w:t>
      </w:r>
    </w:p>
    <w:p w14:paraId="1FFE88D3" w14:textId="2095EF42" w:rsidR="001C2172" w:rsidRPr="004035DE" w:rsidRDefault="004035DE" w:rsidP="004035DE">
      <w:pPr>
        <w:pStyle w:val="ListParagraph"/>
        <w:numPr>
          <w:ilvl w:val="0"/>
          <w:numId w:val="2"/>
        </w:numPr>
        <w:rPr>
          <w:rFonts w:ascii="Cambria" w:hAnsi="Cambria" w:cs="Times New Roman"/>
          <w:b/>
          <w:bCs/>
          <w:sz w:val="24"/>
          <w:szCs w:val="24"/>
        </w:rPr>
      </w:pPr>
      <w:r w:rsidRPr="004035DE">
        <w:rPr>
          <w:rFonts w:ascii="Cambria" w:hAnsi="Cambria" w:cs="Times New Roman"/>
          <w:sz w:val="24"/>
          <w:szCs w:val="24"/>
        </w:rPr>
        <w:t xml:space="preserve">Quarterly meetings of one hour, plus time for reading and reviewing materials in advance </w:t>
      </w:r>
    </w:p>
    <w:p w14:paraId="33086DFA" w14:textId="16651DD3" w:rsidR="004035DE" w:rsidRPr="004035DE" w:rsidRDefault="004035DE" w:rsidP="004035DE">
      <w:pPr>
        <w:pStyle w:val="ListParagraph"/>
        <w:numPr>
          <w:ilvl w:val="0"/>
          <w:numId w:val="2"/>
        </w:numPr>
        <w:rPr>
          <w:rFonts w:ascii="Cambria" w:hAnsi="Cambria" w:cs="Times New Roman"/>
          <w:b/>
          <w:bCs/>
          <w:sz w:val="24"/>
          <w:szCs w:val="24"/>
        </w:rPr>
      </w:pPr>
      <w:r w:rsidRPr="004035DE">
        <w:rPr>
          <w:rFonts w:ascii="Cambria" w:hAnsi="Cambria" w:cs="Times New Roman"/>
          <w:sz w:val="24"/>
          <w:szCs w:val="24"/>
        </w:rPr>
        <w:t>Committee or other commitments of one to two hours between Board meetings</w:t>
      </w:r>
    </w:p>
    <w:p w14:paraId="4035F833" w14:textId="69692EB3" w:rsidR="004035DE" w:rsidRPr="004035DE" w:rsidRDefault="004035DE" w:rsidP="004035DE">
      <w:pPr>
        <w:pStyle w:val="ListParagraph"/>
        <w:numPr>
          <w:ilvl w:val="0"/>
          <w:numId w:val="2"/>
        </w:numPr>
        <w:rPr>
          <w:rFonts w:ascii="Cambria" w:hAnsi="Cambria" w:cs="Times New Roman"/>
          <w:b/>
          <w:bCs/>
          <w:sz w:val="24"/>
          <w:szCs w:val="24"/>
        </w:rPr>
      </w:pPr>
      <w:r w:rsidRPr="004035DE">
        <w:rPr>
          <w:rFonts w:ascii="Cambria" w:hAnsi="Cambria" w:cs="Times New Roman"/>
          <w:sz w:val="24"/>
          <w:szCs w:val="24"/>
        </w:rPr>
        <w:t>Attendance at annual meeting</w:t>
      </w:r>
    </w:p>
    <w:p w14:paraId="45830847" w14:textId="0E80AFC5" w:rsidR="001C2172" w:rsidRPr="0046069F" w:rsidRDefault="0046069F" w:rsidP="001C2172">
      <w:pPr>
        <w:rPr>
          <w:rFonts w:ascii="Cambria" w:hAnsi="Cambria" w:cs="Times New Roman"/>
          <w:sz w:val="28"/>
          <w:szCs w:val="28"/>
        </w:rPr>
      </w:pPr>
      <w:r>
        <w:rPr>
          <w:rFonts w:ascii="Cambria" w:hAnsi="Cambria" w:cs="Times New Roman"/>
          <w:b/>
          <w:bCs/>
          <w:color w:val="2F5496" w:themeColor="accent1" w:themeShade="BF"/>
          <w:sz w:val="24"/>
          <w:szCs w:val="24"/>
        </w:rPr>
        <w:t xml:space="preserve">Report To: </w:t>
      </w:r>
      <w:r w:rsidRPr="0046069F">
        <w:rPr>
          <w:rFonts w:ascii="Cambria" w:hAnsi="Cambria" w:cs="Times New Roman"/>
          <w:sz w:val="24"/>
          <w:szCs w:val="24"/>
        </w:rPr>
        <w:t>Board Chair</w:t>
      </w:r>
    </w:p>
    <w:sectPr w:rsidR="001C2172" w:rsidRPr="00460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A69FB"/>
    <w:multiLevelType w:val="hybridMultilevel"/>
    <w:tmpl w:val="1C8A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44B89"/>
    <w:multiLevelType w:val="hybridMultilevel"/>
    <w:tmpl w:val="343C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748703">
    <w:abstractNumId w:val="1"/>
  </w:num>
  <w:num w:numId="2" w16cid:durableId="1227911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72"/>
    <w:rsid w:val="00057CFF"/>
    <w:rsid w:val="001C2172"/>
    <w:rsid w:val="004035DE"/>
    <w:rsid w:val="0046069F"/>
    <w:rsid w:val="007A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9E95"/>
  <w15:chartTrackingRefBased/>
  <w15:docId w15:val="{49BE205E-187E-4C42-804B-4FC1AD84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526724">
      <w:bodyDiv w:val="1"/>
      <w:marLeft w:val="0"/>
      <w:marRight w:val="0"/>
      <w:marTop w:val="0"/>
      <w:marBottom w:val="0"/>
      <w:divBdr>
        <w:top w:val="none" w:sz="0" w:space="0" w:color="auto"/>
        <w:left w:val="none" w:sz="0" w:space="0" w:color="auto"/>
        <w:bottom w:val="none" w:sz="0" w:space="0" w:color="auto"/>
        <w:right w:val="none" w:sz="0" w:space="0" w:color="auto"/>
      </w:divBdr>
      <w:divsChild>
        <w:div w:id="172841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Fulton</dc:creator>
  <cp:keywords/>
  <dc:description/>
  <cp:lastModifiedBy>Lauren Fulton</cp:lastModifiedBy>
  <cp:revision>2</cp:revision>
  <dcterms:created xsi:type="dcterms:W3CDTF">2023-01-31T19:01:00Z</dcterms:created>
  <dcterms:modified xsi:type="dcterms:W3CDTF">2023-01-31T19:01:00Z</dcterms:modified>
</cp:coreProperties>
</file>